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A12325" w:rsidTr="00C008A5">
        <w:tc>
          <w:tcPr>
            <w:tcW w:w="625" w:type="dxa"/>
          </w:tcPr>
          <w:p w:rsidR="00A12325" w:rsidRDefault="00C008A5">
            <w:r>
              <w:t>1</w:t>
            </w:r>
          </w:p>
        </w:tc>
        <w:tc>
          <w:tcPr>
            <w:tcW w:w="8725" w:type="dxa"/>
          </w:tcPr>
          <w:p w:rsidR="00A12325" w:rsidRDefault="00C008A5">
            <w:r>
              <w:t>Style and tone</w:t>
            </w:r>
          </w:p>
        </w:tc>
      </w:tr>
      <w:tr w:rsidR="00A12325" w:rsidTr="00C008A5">
        <w:tc>
          <w:tcPr>
            <w:tcW w:w="625" w:type="dxa"/>
          </w:tcPr>
          <w:p w:rsidR="00A12325" w:rsidRDefault="00C008A5">
            <w:r>
              <w:t>2</w:t>
            </w:r>
          </w:p>
        </w:tc>
        <w:tc>
          <w:tcPr>
            <w:tcW w:w="8725" w:type="dxa"/>
          </w:tcPr>
          <w:p w:rsidR="00A12325" w:rsidRDefault="00C008A5">
            <w:r>
              <w:t>Rhetorical</w:t>
            </w:r>
          </w:p>
        </w:tc>
      </w:tr>
      <w:tr w:rsidR="00A12325" w:rsidTr="00C008A5">
        <w:tc>
          <w:tcPr>
            <w:tcW w:w="625" w:type="dxa"/>
          </w:tcPr>
          <w:p w:rsidR="00A12325" w:rsidRDefault="00C008A5">
            <w:r>
              <w:t>3</w:t>
            </w:r>
          </w:p>
        </w:tc>
        <w:tc>
          <w:tcPr>
            <w:tcW w:w="8725" w:type="dxa"/>
          </w:tcPr>
          <w:p w:rsidR="00132201" w:rsidRDefault="00132201">
            <w:r>
              <w:t>Subordination and coordination</w:t>
            </w:r>
          </w:p>
          <w:p w:rsidR="00A12325" w:rsidRDefault="00132201">
            <w:hyperlink r:id="rId4" w:history="1">
              <w:r w:rsidRPr="00E62953">
                <w:rPr>
                  <w:rStyle w:val="Hyperlink"/>
                </w:rPr>
                <w:t>https://blog.arborbridge.com/approach-transition-questions-sat-writing-section</w:t>
              </w:r>
            </w:hyperlink>
          </w:p>
          <w:p w:rsidR="00132201" w:rsidRDefault="00132201"/>
          <w:p w:rsidR="00C008A5" w:rsidRDefault="00C008A5"/>
        </w:tc>
      </w:tr>
      <w:tr w:rsidR="00A12325" w:rsidTr="00C008A5">
        <w:tc>
          <w:tcPr>
            <w:tcW w:w="625" w:type="dxa"/>
          </w:tcPr>
          <w:p w:rsidR="00A12325" w:rsidRDefault="00C008A5">
            <w:r>
              <w:t>4</w:t>
            </w:r>
          </w:p>
        </w:tc>
        <w:tc>
          <w:tcPr>
            <w:tcW w:w="8725" w:type="dxa"/>
          </w:tcPr>
          <w:p w:rsidR="00A12325" w:rsidRDefault="00C008A5">
            <w:r>
              <w:t>Frequently confused words</w:t>
            </w:r>
          </w:p>
          <w:p w:rsidR="00C008A5" w:rsidRDefault="00C008A5">
            <w:hyperlink r:id="rId5" w:history="1">
              <w:r w:rsidRPr="00E62953">
                <w:rPr>
                  <w:rStyle w:val="Hyperlink"/>
                </w:rPr>
                <w:t>https://www.thoughtco.com/commonly-confused-words-quiz-4582977</w:t>
              </w:r>
            </w:hyperlink>
          </w:p>
          <w:p w:rsidR="00C008A5" w:rsidRDefault="00C008A5"/>
        </w:tc>
      </w:tr>
      <w:tr w:rsidR="00A12325" w:rsidTr="00C008A5">
        <w:tc>
          <w:tcPr>
            <w:tcW w:w="625" w:type="dxa"/>
          </w:tcPr>
          <w:p w:rsidR="00A12325" w:rsidRDefault="00C008A5">
            <w:r>
              <w:t>5</w:t>
            </w:r>
          </w:p>
        </w:tc>
        <w:tc>
          <w:tcPr>
            <w:tcW w:w="8725" w:type="dxa"/>
          </w:tcPr>
          <w:p w:rsidR="00A12325" w:rsidRDefault="006612E5">
            <w:r>
              <w:t>Within-sentence punctuation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6</w:t>
            </w:r>
          </w:p>
        </w:tc>
        <w:tc>
          <w:tcPr>
            <w:tcW w:w="8725" w:type="dxa"/>
          </w:tcPr>
          <w:p w:rsidR="00A12325" w:rsidRDefault="006612E5">
            <w:r>
              <w:t>Shifts in verb, tense, mood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7</w:t>
            </w:r>
          </w:p>
        </w:tc>
        <w:tc>
          <w:tcPr>
            <w:tcW w:w="8725" w:type="dxa"/>
          </w:tcPr>
          <w:p w:rsidR="00A12325" w:rsidRDefault="006612E5">
            <w:r>
              <w:t>Rhetorical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8</w:t>
            </w:r>
          </w:p>
        </w:tc>
        <w:tc>
          <w:tcPr>
            <w:tcW w:w="8725" w:type="dxa"/>
          </w:tcPr>
          <w:p w:rsidR="00A12325" w:rsidRDefault="006612E5">
            <w:r>
              <w:t>Conventional expression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9</w:t>
            </w:r>
          </w:p>
        </w:tc>
        <w:tc>
          <w:tcPr>
            <w:tcW w:w="8725" w:type="dxa"/>
          </w:tcPr>
          <w:p w:rsidR="00A12325" w:rsidRDefault="006612E5">
            <w:r>
              <w:t>Syntax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10</w:t>
            </w:r>
          </w:p>
        </w:tc>
        <w:tc>
          <w:tcPr>
            <w:tcW w:w="8725" w:type="dxa"/>
          </w:tcPr>
          <w:p w:rsidR="00A12325" w:rsidRDefault="006612E5">
            <w:r>
              <w:t>Nonessential and parenthetical elements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11</w:t>
            </w:r>
          </w:p>
        </w:tc>
        <w:tc>
          <w:tcPr>
            <w:tcW w:w="8725" w:type="dxa"/>
          </w:tcPr>
          <w:p w:rsidR="00A12325" w:rsidRDefault="006612E5">
            <w:r>
              <w:t>Rhetorical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12</w:t>
            </w:r>
          </w:p>
        </w:tc>
        <w:tc>
          <w:tcPr>
            <w:tcW w:w="8725" w:type="dxa"/>
          </w:tcPr>
          <w:p w:rsidR="00A12325" w:rsidRDefault="006612E5">
            <w:r>
              <w:t>Nonessential and parenthetical elements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13</w:t>
            </w:r>
          </w:p>
        </w:tc>
        <w:tc>
          <w:tcPr>
            <w:tcW w:w="8725" w:type="dxa"/>
          </w:tcPr>
          <w:p w:rsidR="00A12325" w:rsidRDefault="006612E5">
            <w:r>
              <w:t>Rhetorical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14</w:t>
            </w:r>
          </w:p>
        </w:tc>
        <w:tc>
          <w:tcPr>
            <w:tcW w:w="8725" w:type="dxa"/>
          </w:tcPr>
          <w:p w:rsidR="00A12325" w:rsidRDefault="006612E5">
            <w:r>
              <w:t>Rhetorical</w:t>
            </w:r>
          </w:p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15</w:t>
            </w:r>
          </w:p>
        </w:tc>
        <w:tc>
          <w:tcPr>
            <w:tcW w:w="8725" w:type="dxa"/>
          </w:tcPr>
          <w:p w:rsidR="00A12325" w:rsidRDefault="006612E5">
            <w:r>
              <w:t>Possession</w:t>
            </w:r>
          </w:p>
          <w:p w:rsidR="006612E5" w:rsidRDefault="006612E5">
            <w:hyperlink r:id="rId6" w:history="1">
              <w:r w:rsidRPr="00E62953">
                <w:rPr>
                  <w:rStyle w:val="Hyperlink"/>
                </w:rPr>
                <w:t>https://chompchomp.com/exercises.htm#Apostrophes</w:t>
              </w:r>
            </w:hyperlink>
          </w:p>
          <w:p w:rsidR="006612E5" w:rsidRDefault="006612E5"/>
        </w:tc>
      </w:tr>
      <w:tr w:rsidR="00A12325" w:rsidTr="00C008A5">
        <w:tc>
          <w:tcPr>
            <w:tcW w:w="625" w:type="dxa"/>
          </w:tcPr>
          <w:p w:rsidR="00A12325" w:rsidRDefault="006612E5">
            <w:r>
              <w:t>16</w:t>
            </w:r>
          </w:p>
        </w:tc>
        <w:tc>
          <w:tcPr>
            <w:tcW w:w="8725" w:type="dxa"/>
          </w:tcPr>
          <w:p w:rsidR="00A12325" w:rsidRDefault="00132201">
            <w:r>
              <w:t>Rhetorical</w:t>
            </w:r>
          </w:p>
        </w:tc>
      </w:tr>
      <w:tr w:rsidR="00A12325" w:rsidTr="00C008A5">
        <w:tc>
          <w:tcPr>
            <w:tcW w:w="625" w:type="dxa"/>
          </w:tcPr>
          <w:p w:rsidR="00A12325" w:rsidRDefault="00132201">
            <w:r>
              <w:t>17</w:t>
            </w:r>
          </w:p>
        </w:tc>
        <w:tc>
          <w:tcPr>
            <w:tcW w:w="8725" w:type="dxa"/>
          </w:tcPr>
          <w:p w:rsidR="00A12325" w:rsidRDefault="00132201">
            <w:r>
              <w:t>Parallel structure</w:t>
            </w:r>
          </w:p>
        </w:tc>
      </w:tr>
      <w:tr w:rsidR="00A12325" w:rsidTr="00C008A5">
        <w:tc>
          <w:tcPr>
            <w:tcW w:w="625" w:type="dxa"/>
          </w:tcPr>
          <w:p w:rsidR="00A12325" w:rsidRDefault="00132201">
            <w:r>
              <w:t>18</w:t>
            </w:r>
          </w:p>
        </w:tc>
        <w:tc>
          <w:tcPr>
            <w:tcW w:w="8725" w:type="dxa"/>
          </w:tcPr>
          <w:p w:rsidR="00A12325" w:rsidRDefault="00132201">
            <w:r>
              <w:t xml:space="preserve">Sentence boundaries </w:t>
            </w:r>
          </w:p>
          <w:p w:rsidR="00132201" w:rsidRDefault="00132201">
            <w:r>
              <w:t>Subordination and coordination</w:t>
            </w:r>
          </w:p>
        </w:tc>
      </w:tr>
      <w:tr w:rsidR="00A12325" w:rsidTr="00C008A5">
        <w:tc>
          <w:tcPr>
            <w:tcW w:w="625" w:type="dxa"/>
          </w:tcPr>
          <w:p w:rsidR="00A12325" w:rsidRDefault="00132201">
            <w:r>
              <w:t>19</w:t>
            </w:r>
          </w:p>
        </w:tc>
        <w:tc>
          <w:tcPr>
            <w:tcW w:w="8725" w:type="dxa"/>
          </w:tcPr>
          <w:p w:rsidR="00A12325" w:rsidRDefault="00132201">
            <w:r>
              <w:t>Rhetorical</w:t>
            </w:r>
          </w:p>
        </w:tc>
      </w:tr>
      <w:tr w:rsidR="00A12325" w:rsidTr="00C008A5">
        <w:tc>
          <w:tcPr>
            <w:tcW w:w="625" w:type="dxa"/>
          </w:tcPr>
          <w:p w:rsidR="00A12325" w:rsidRDefault="00132201">
            <w:r>
              <w:t>20</w:t>
            </w:r>
          </w:p>
        </w:tc>
        <w:tc>
          <w:tcPr>
            <w:tcW w:w="8725" w:type="dxa"/>
          </w:tcPr>
          <w:p w:rsidR="00132201" w:rsidRDefault="00132201" w:rsidP="00132201">
            <w:r>
              <w:t xml:space="preserve">Sentence boundaries </w:t>
            </w:r>
          </w:p>
          <w:p w:rsidR="00A12325" w:rsidRDefault="00132201" w:rsidP="00132201">
            <w:r>
              <w:t>Subordination and coordination</w:t>
            </w:r>
          </w:p>
        </w:tc>
      </w:tr>
      <w:tr w:rsidR="00A12325" w:rsidTr="00C008A5">
        <w:tc>
          <w:tcPr>
            <w:tcW w:w="625" w:type="dxa"/>
          </w:tcPr>
          <w:p w:rsidR="00A12325" w:rsidRDefault="00F00645">
            <w:r>
              <w:t>21</w:t>
            </w:r>
          </w:p>
        </w:tc>
        <w:tc>
          <w:tcPr>
            <w:tcW w:w="8725" w:type="dxa"/>
          </w:tcPr>
          <w:p w:rsidR="00A12325" w:rsidRDefault="00F00645">
            <w:r>
              <w:t xml:space="preserve">Precision and concision </w:t>
            </w:r>
          </w:p>
        </w:tc>
      </w:tr>
      <w:tr w:rsidR="00A12325" w:rsidTr="00C008A5">
        <w:tc>
          <w:tcPr>
            <w:tcW w:w="625" w:type="dxa"/>
          </w:tcPr>
          <w:p w:rsidR="00A12325" w:rsidRDefault="00F00645">
            <w:r>
              <w:t>22</w:t>
            </w:r>
          </w:p>
        </w:tc>
        <w:tc>
          <w:tcPr>
            <w:tcW w:w="8725" w:type="dxa"/>
          </w:tcPr>
          <w:p w:rsidR="00A12325" w:rsidRDefault="00F00645">
            <w:r>
              <w:t>Modifier placement</w:t>
            </w:r>
          </w:p>
          <w:p w:rsidR="00F00645" w:rsidRDefault="00F00645">
            <w:hyperlink r:id="rId7" w:history="1">
              <w:r w:rsidRPr="00E62953">
                <w:rPr>
                  <w:rStyle w:val="Hyperlink"/>
                </w:rPr>
                <w:t>https://chompchomp.com/modifiers04/modifiers04.01.htm</w:t>
              </w:r>
            </w:hyperlink>
          </w:p>
          <w:p w:rsidR="00F00645" w:rsidRDefault="00F00645"/>
        </w:tc>
      </w:tr>
      <w:tr w:rsidR="00B01A21" w:rsidTr="00C008A5">
        <w:tc>
          <w:tcPr>
            <w:tcW w:w="625" w:type="dxa"/>
          </w:tcPr>
          <w:p w:rsidR="00B01A21" w:rsidRDefault="00B01A21">
            <w:r>
              <w:t>23</w:t>
            </w:r>
          </w:p>
        </w:tc>
        <w:tc>
          <w:tcPr>
            <w:tcW w:w="8725" w:type="dxa"/>
          </w:tcPr>
          <w:p w:rsidR="00B01A21" w:rsidRDefault="00B01A21">
            <w:r>
              <w:t>Possessive determiners</w:t>
            </w:r>
          </w:p>
        </w:tc>
      </w:tr>
      <w:tr w:rsidR="00B01A21" w:rsidTr="00C008A5">
        <w:tc>
          <w:tcPr>
            <w:tcW w:w="625" w:type="dxa"/>
          </w:tcPr>
          <w:p w:rsidR="00B01A21" w:rsidRDefault="00967C66">
            <w:r>
              <w:t>24</w:t>
            </w:r>
          </w:p>
        </w:tc>
        <w:tc>
          <w:tcPr>
            <w:tcW w:w="8725" w:type="dxa"/>
          </w:tcPr>
          <w:p w:rsidR="00B01A21" w:rsidRDefault="00967C66">
            <w:r>
              <w:t>Sentence boundaries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25</w:t>
            </w:r>
          </w:p>
        </w:tc>
        <w:tc>
          <w:tcPr>
            <w:tcW w:w="8725" w:type="dxa"/>
          </w:tcPr>
          <w:p w:rsidR="00967C66" w:rsidRDefault="00967C66">
            <w:r>
              <w:t>Within-sentence punctuation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26</w:t>
            </w:r>
          </w:p>
        </w:tc>
        <w:tc>
          <w:tcPr>
            <w:tcW w:w="8725" w:type="dxa"/>
          </w:tcPr>
          <w:p w:rsidR="00967C66" w:rsidRDefault="00967C66">
            <w:r>
              <w:t>Logical comparisons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27</w:t>
            </w:r>
          </w:p>
        </w:tc>
        <w:tc>
          <w:tcPr>
            <w:tcW w:w="8725" w:type="dxa"/>
          </w:tcPr>
          <w:p w:rsidR="00967C66" w:rsidRDefault="00967C66">
            <w:r>
              <w:t>Syntax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28</w:t>
            </w:r>
          </w:p>
        </w:tc>
        <w:tc>
          <w:tcPr>
            <w:tcW w:w="8725" w:type="dxa"/>
          </w:tcPr>
          <w:p w:rsidR="00967C66" w:rsidRDefault="00967C66">
            <w:r>
              <w:t>Subordination and coordination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29</w:t>
            </w:r>
          </w:p>
        </w:tc>
        <w:tc>
          <w:tcPr>
            <w:tcW w:w="8725" w:type="dxa"/>
          </w:tcPr>
          <w:p w:rsidR="00967C66" w:rsidRDefault="00967C66">
            <w:r>
              <w:t xml:space="preserve">Precision and concision 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30</w:t>
            </w:r>
          </w:p>
        </w:tc>
        <w:tc>
          <w:tcPr>
            <w:tcW w:w="8725" w:type="dxa"/>
          </w:tcPr>
          <w:p w:rsidR="00967C66" w:rsidRDefault="00967C66">
            <w:r>
              <w:t>Graphs and charts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31</w:t>
            </w:r>
          </w:p>
        </w:tc>
        <w:tc>
          <w:tcPr>
            <w:tcW w:w="8725" w:type="dxa"/>
          </w:tcPr>
          <w:p w:rsidR="00967C66" w:rsidRDefault="00967C66">
            <w:r>
              <w:t>Graphs and charts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32</w:t>
            </w:r>
          </w:p>
        </w:tc>
        <w:tc>
          <w:tcPr>
            <w:tcW w:w="8725" w:type="dxa"/>
          </w:tcPr>
          <w:p w:rsidR="00967C66" w:rsidRDefault="00967C66">
            <w:r>
              <w:t>Within-sentence punctuation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lastRenderedPageBreak/>
              <w:t>33</w:t>
            </w:r>
          </w:p>
        </w:tc>
        <w:tc>
          <w:tcPr>
            <w:tcW w:w="8725" w:type="dxa"/>
          </w:tcPr>
          <w:p w:rsidR="00967C66" w:rsidRDefault="00967C66">
            <w:r>
              <w:t>Rhetorical</w:t>
            </w:r>
          </w:p>
        </w:tc>
      </w:tr>
      <w:tr w:rsidR="00967C66" w:rsidTr="00C008A5">
        <w:tc>
          <w:tcPr>
            <w:tcW w:w="625" w:type="dxa"/>
          </w:tcPr>
          <w:p w:rsidR="00967C66" w:rsidRDefault="00967C66">
            <w:r>
              <w:t>34</w:t>
            </w:r>
          </w:p>
        </w:tc>
        <w:tc>
          <w:tcPr>
            <w:tcW w:w="8725" w:type="dxa"/>
          </w:tcPr>
          <w:p w:rsidR="00967C66" w:rsidRDefault="00B254AA">
            <w:r>
              <w:t>Rhetorical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35</w:t>
            </w:r>
          </w:p>
        </w:tc>
        <w:tc>
          <w:tcPr>
            <w:tcW w:w="8725" w:type="dxa"/>
          </w:tcPr>
          <w:p w:rsidR="00B254AA" w:rsidRDefault="00B254AA">
            <w:r>
              <w:t>End-of-sentence punctuation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36</w:t>
            </w:r>
          </w:p>
        </w:tc>
        <w:tc>
          <w:tcPr>
            <w:tcW w:w="8725" w:type="dxa"/>
          </w:tcPr>
          <w:p w:rsidR="00B254AA" w:rsidRDefault="00B254AA">
            <w:r>
              <w:t>Rhetorical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37</w:t>
            </w:r>
          </w:p>
        </w:tc>
        <w:tc>
          <w:tcPr>
            <w:tcW w:w="8725" w:type="dxa"/>
          </w:tcPr>
          <w:p w:rsidR="00B254AA" w:rsidRDefault="00B254AA">
            <w:r>
              <w:t>Parallel structure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38</w:t>
            </w:r>
          </w:p>
        </w:tc>
        <w:tc>
          <w:tcPr>
            <w:tcW w:w="8725" w:type="dxa"/>
          </w:tcPr>
          <w:p w:rsidR="00B254AA" w:rsidRDefault="00B254AA">
            <w:r>
              <w:t>Rhetorical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39</w:t>
            </w:r>
          </w:p>
        </w:tc>
        <w:tc>
          <w:tcPr>
            <w:tcW w:w="8725" w:type="dxa"/>
          </w:tcPr>
          <w:p w:rsidR="00B254AA" w:rsidRDefault="00B254AA">
            <w:r>
              <w:t>Shifts in verb, tense, and mood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40</w:t>
            </w:r>
          </w:p>
        </w:tc>
        <w:tc>
          <w:tcPr>
            <w:tcW w:w="8725" w:type="dxa"/>
          </w:tcPr>
          <w:p w:rsidR="00B254AA" w:rsidRDefault="00B254AA">
            <w:r>
              <w:t>Sentence boundaries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41</w:t>
            </w:r>
          </w:p>
        </w:tc>
        <w:tc>
          <w:tcPr>
            <w:tcW w:w="8725" w:type="dxa"/>
          </w:tcPr>
          <w:p w:rsidR="00B254AA" w:rsidRDefault="00B254AA">
            <w:r>
              <w:t>Style and tone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42</w:t>
            </w:r>
          </w:p>
        </w:tc>
        <w:tc>
          <w:tcPr>
            <w:tcW w:w="8725" w:type="dxa"/>
          </w:tcPr>
          <w:p w:rsidR="00B254AA" w:rsidRDefault="00B254AA">
            <w:r>
              <w:t>Precision and concision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43</w:t>
            </w:r>
          </w:p>
        </w:tc>
        <w:tc>
          <w:tcPr>
            <w:tcW w:w="8725" w:type="dxa"/>
          </w:tcPr>
          <w:p w:rsidR="00B254AA" w:rsidRDefault="00B254AA">
            <w:r>
              <w:t>Shifts in verb, tense, and mood</w:t>
            </w:r>
          </w:p>
        </w:tc>
      </w:tr>
      <w:tr w:rsidR="00B254AA" w:rsidTr="00C008A5">
        <w:tc>
          <w:tcPr>
            <w:tcW w:w="625" w:type="dxa"/>
          </w:tcPr>
          <w:p w:rsidR="00B254AA" w:rsidRDefault="00B254AA">
            <w:r>
              <w:t>44</w:t>
            </w:r>
          </w:p>
        </w:tc>
        <w:tc>
          <w:tcPr>
            <w:tcW w:w="8725" w:type="dxa"/>
          </w:tcPr>
          <w:p w:rsidR="00B254AA" w:rsidRDefault="00B254AA">
            <w:r>
              <w:t>Rhetorical</w:t>
            </w:r>
            <w:bookmarkStart w:id="0" w:name="_GoBack"/>
            <w:bookmarkEnd w:id="0"/>
          </w:p>
        </w:tc>
      </w:tr>
    </w:tbl>
    <w:p w:rsidR="00977E74" w:rsidRDefault="00977E74">
      <w:r>
        <w:t xml:space="preserve"> </w:t>
      </w:r>
    </w:p>
    <w:sectPr w:rsidR="00977E74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74"/>
    <w:rsid w:val="00132201"/>
    <w:rsid w:val="001A1027"/>
    <w:rsid w:val="006612E5"/>
    <w:rsid w:val="00806417"/>
    <w:rsid w:val="00967C66"/>
    <w:rsid w:val="00977E74"/>
    <w:rsid w:val="00A12325"/>
    <w:rsid w:val="00B01A21"/>
    <w:rsid w:val="00B254AA"/>
    <w:rsid w:val="00C008A5"/>
    <w:rsid w:val="00F00645"/>
    <w:rsid w:val="00F4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B122B"/>
  <w15:chartTrackingRefBased/>
  <w15:docId w15:val="{4D7A11D1-E4C2-984B-94CE-0983B445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ompchomp.com/modifiers04/modifiers04.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mpchomp.com/exercises.htm#Apostrophes" TargetMode="External"/><Relationship Id="rId5" Type="http://schemas.openxmlformats.org/officeDocument/2006/relationships/hyperlink" Target="https://www.thoughtco.com/commonly-confused-words-quiz-4582977" TargetMode="External"/><Relationship Id="rId4" Type="http://schemas.openxmlformats.org/officeDocument/2006/relationships/hyperlink" Target="https://blog.arborbridge.com/approach-transition-questions-sat-writing-sec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2021-01-06T16:23:00Z</dcterms:created>
  <dcterms:modified xsi:type="dcterms:W3CDTF">2021-01-17T02:57:00Z</dcterms:modified>
</cp:coreProperties>
</file>